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F9A" w:rsidRDefault="00705879">
      <w:pPr>
        <w:pStyle w:val="Titolo3"/>
      </w:pPr>
      <w:r>
        <w:t>Sistema di misurazione e valutazione della performance</w:t>
      </w:r>
    </w:p>
    <w:p w:rsidR="00705879" w:rsidRDefault="00705879" w:rsidP="00705879">
      <w:pPr>
        <w:pStyle w:val="Corpodeltesto"/>
      </w:pPr>
    </w:p>
    <w:p w:rsidR="00705879" w:rsidRPr="00705879" w:rsidRDefault="00705879" w:rsidP="00705879">
      <w:pPr>
        <w:pStyle w:val="Corpodeltesto"/>
      </w:pPr>
      <w:bookmarkStart w:id="0" w:name="_GoBack"/>
      <w:bookmarkEnd w:id="0"/>
    </w:p>
    <w:p w:rsidR="0063641A" w:rsidRDefault="0063641A" w:rsidP="0063641A">
      <w:pPr>
        <w:pStyle w:val="Corpodeltesto"/>
        <w:spacing w:after="0"/>
        <w:jc w:val="both"/>
      </w:pPr>
      <w:r w:rsidRPr="0063641A">
        <w:rPr>
          <w:rFonts w:hint="eastAsia"/>
        </w:rPr>
        <w:t xml:space="preserve">In questa sezione </w:t>
      </w:r>
      <w:r w:rsidRPr="0063641A">
        <w:rPr>
          <w:rFonts w:hint="eastAsia"/>
        </w:rPr>
        <w:t>è</w:t>
      </w:r>
      <w:r w:rsidRPr="0063641A">
        <w:rPr>
          <w:rFonts w:hint="eastAsia"/>
        </w:rPr>
        <w:t xml:space="preserve"> indicato e descritto il sistema di misurazione e valutazione della performance di cui al Decreto Legislativo 27 ottobre 2009, n. 150 </w:t>
      </w:r>
      <w:r w:rsidRPr="0063641A">
        <w:rPr>
          <w:rFonts w:hint="eastAsia"/>
        </w:rPr>
        <w:t>“</w:t>
      </w:r>
      <w:r w:rsidRPr="0063641A">
        <w:rPr>
          <w:rFonts w:hint="eastAsia"/>
        </w:rPr>
        <w:t>Attuazione della legge 4 marzo 2009, n.  1</w:t>
      </w:r>
      <w:r w:rsidR="00A60E8B">
        <w:t>,</w:t>
      </w:r>
      <w:r w:rsidRPr="0063641A">
        <w:rPr>
          <w:rFonts w:hint="eastAsia"/>
        </w:rPr>
        <w:t xml:space="preserve"> </w:t>
      </w:r>
      <w:proofErr w:type="gramStart"/>
      <w:r w:rsidRPr="0063641A">
        <w:rPr>
          <w:rFonts w:hint="eastAsia"/>
        </w:rPr>
        <w:t>in  materia</w:t>
      </w:r>
      <w:proofErr w:type="gramEnd"/>
      <w:r w:rsidRPr="0063641A">
        <w:rPr>
          <w:rFonts w:hint="eastAsia"/>
        </w:rPr>
        <w:t xml:space="preserve">  di ottimizzazione   della   produttivi</w:t>
      </w:r>
      <w:r>
        <w:t>tà</w:t>
      </w:r>
      <w:r w:rsidRPr="0063641A">
        <w:rPr>
          <w:rFonts w:hint="eastAsia"/>
        </w:rPr>
        <w:t xml:space="preserve">   del  lavoro  pubblico  e  di efficienza e </w:t>
      </w:r>
      <w:r w:rsidR="00705879">
        <w:br/>
      </w:r>
      <w:r w:rsidRPr="0063641A">
        <w:rPr>
          <w:rFonts w:hint="eastAsia"/>
        </w:rPr>
        <w:t>trasparenza delle pubbliche amministrazioni. (09G0164)</w:t>
      </w:r>
      <w:r>
        <w:rPr>
          <w:rFonts w:hint="eastAsia"/>
        </w:rPr>
        <w:t>.</w:t>
      </w:r>
    </w:p>
    <w:p w:rsidR="0063641A" w:rsidRDefault="0063641A" w:rsidP="0063641A">
      <w:pPr>
        <w:pStyle w:val="Corpodeltesto"/>
        <w:spacing w:after="0"/>
        <w:jc w:val="both"/>
      </w:pPr>
    </w:p>
    <w:p w:rsidR="00A01423" w:rsidRDefault="00705879" w:rsidP="0063641A">
      <w:pPr>
        <w:pStyle w:val="Corpodeltesto"/>
        <w:spacing w:after="0"/>
        <w:jc w:val="both"/>
      </w:pPr>
      <w:r>
        <w:t xml:space="preserve">Il ciclo della performance e l’OIV  non sono istituiti ai sensi dell’art. 2 comma 2 bis del  </w:t>
      </w:r>
      <w:hyperlink r:id="rId5" w:tgtFrame="_blank">
        <w:r>
          <w:rPr>
            <w:rStyle w:val="CollegamentoInternet"/>
          </w:rPr>
          <w:t>DL 31 agosto 2013, n. 101</w:t>
        </w:r>
      </w:hyperlink>
      <w:r>
        <w:t> </w:t>
      </w:r>
      <w:r w:rsidR="00A01423">
        <w:t>.</w:t>
      </w:r>
      <w:r>
        <w:t xml:space="preserve"> </w:t>
      </w:r>
      <w:r w:rsidR="00A01423">
        <w:t>In particolare l</w:t>
      </w:r>
      <w:r w:rsidR="00A01423">
        <w:t>a Federazione Nazionale dei Chimici, sulla base dell’art. 2, comma 2 bis del D.L 31 agosto 2013, n. 101, convertito nella Legge nr 125/2013, è escluso dagli obblighi di costituzione degli Organismi Interni di Valutazione (OIV) e dai correlati procedimenti di valutazione della performance.</w:t>
      </w:r>
    </w:p>
    <w:p w:rsidR="0063641A" w:rsidRDefault="0063641A" w:rsidP="00A01423">
      <w:pPr>
        <w:pStyle w:val="Corpodeltesto"/>
        <w:spacing w:after="0"/>
      </w:pPr>
    </w:p>
    <w:p w:rsidR="0063641A" w:rsidRPr="0063641A" w:rsidRDefault="0063641A" w:rsidP="00A01423">
      <w:pPr>
        <w:pStyle w:val="Corpodeltesto"/>
        <w:spacing w:after="0"/>
        <w:rPr>
          <w:i/>
        </w:rPr>
      </w:pPr>
      <w:r w:rsidRPr="0063641A">
        <w:rPr>
          <w:rFonts w:hint="eastAsia"/>
        </w:rPr>
        <w:t xml:space="preserve">La norma citata, in particolare, pur richiamando un adeguamento delle strutture ordinistiche ai principi del decreto legislativo 165/2001, esclude espressamente quella parte della </w:t>
      </w:r>
      <w:r w:rsidRPr="0063641A">
        <w:rPr>
          <w:rFonts w:hint="eastAsia"/>
          <w:i/>
        </w:rPr>
        <w:t>“</w:t>
      </w:r>
      <w:r w:rsidRPr="0063641A">
        <w:rPr>
          <w:rFonts w:hint="eastAsia"/>
          <w:i/>
        </w:rPr>
        <w:t>Riforma Brunetta</w:t>
      </w:r>
      <w:r w:rsidRPr="0063641A">
        <w:rPr>
          <w:rFonts w:hint="eastAsia"/>
          <w:i/>
        </w:rPr>
        <w:t>”</w:t>
      </w:r>
      <w:r w:rsidRPr="0063641A">
        <w:rPr>
          <w:rFonts w:hint="eastAsia"/>
          <w:i/>
        </w:rPr>
        <w:t xml:space="preserve"> (artt. 4 e 14 </w:t>
      </w:r>
      <w:proofErr w:type="spellStart"/>
      <w:r w:rsidRPr="0063641A">
        <w:rPr>
          <w:rFonts w:hint="eastAsia"/>
          <w:i/>
        </w:rPr>
        <w:t>d.lgs</w:t>
      </w:r>
      <w:proofErr w:type="spellEnd"/>
      <w:r w:rsidRPr="0063641A">
        <w:rPr>
          <w:rFonts w:hint="eastAsia"/>
          <w:i/>
        </w:rPr>
        <w:t>, 150/2009) che impone alla general</w:t>
      </w:r>
      <w:r w:rsidRPr="0063641A">
        <w:rPr>
          <w:i/>
        </w:rPr>
        <w:t>ità</w:t>
      </w:r>
      <w:r w:rsidRPr="0063641A">
        <w:rPr>
          <w:rFonts w:hint="eastAsia"/>
          <w:i/>
        </w:rPr>
        <w:t xml:space="preserve"> delle amministrazioni pubbliche gli obblighi in materia di performance e O.I.V.</w:t>
      </w:r>
      <w:r w:rsidRPr="0063641A">
        <w:rPr>
          <w:rFonts w:hint="eastAsia"/>
          <w:i/>
        </w:rPr>
        <w:t>”</w:t>
      </w:r>
    </w:p>
    <w:p w:rsidR="0063641A" w:rsidRDefault="0063641A" w:rsidP="00A01423">
      <w:pPr>
        <w:pStyle w:val="Corpodeltesto"/>
        <w:spacing w:after="0"/>
        <w:rPr>
          <w:rFonts w:hint="eastAsia"/>
        </w:rPr>
      </w:pPr>
    </w:p>
    <w:p w:rsidR="0063641A" w:rsidRDefault="00A01423" w:rsidP="0063641A">
      <w:pPr>
        <w:pStyle w:val="Corpodeltesto"/>
        <w:spacing w:after="0"/>
        <w:jc w:val="both"/>
      </w:pPr>
      <w:r>
        <w:t xml:space="preserve">La </w:t>
      </w:r>
      <w:r w:rsidR="00705879">
        <w:t>F</w:t>
      </w:r>
      <w:r>
        <w:t>ederazione Nazionale dei Chimici e dei Fisici</w:t>
      </w:r>
      <w:r w:rsidR="00705879">
        <w:t>, considerata anche la ridottissima dotazione organica nonché l’assenza del ruolo dirigenziale, garantisce allo stato attuale un m</w:t>
      </w:r>
      <w:r w:rsidR="00705879">
        <w:t>eccanismo comunque volto ad assicurare standar</w:t>
      </w:r>
      <w:r w:rsidR="00705879">
        <w:t>d qualitativi ed economici del   servizio</w:t>
      </w:r>
      <w:r w:rsidR="00705879">
        <w:t xml:space="preserve"> tramite</w:t>
      </w:r>
      <w:r w:rsidR="00705879">
        <w:t xml:space="preserve"> un sistema di </w:t>
      </w:r>
      <w:r w:rsidR="00705879">
        <w:t>valorizzazione </w:t>
      </w:r>
      <w:r w:rsidR="00705879">
        <w:t>dei </w:t>
      </w:r>
      <w:r w:rsidR="00705879">
        <w:t>risultati</w:t>
      </w:r>
      <w:r w:rsidR="00705879">
        <w:t xml:space="preserve"> e </w:t>
      </w:r>
      <w:r w:rsidR="00705879">
        <w:t>della performance organizzativa e individuale, </w:t>
      </w:r>
      <w:r w:rsidR="00705879">
        <w:t xml:space="preserve">adeguandosi cosi </w:t>
      </w:r>
      <w:r w:rsidR="00705879">
        <w:br/>
      </w:r>
      <w:r w:rsidR="0063641A" w:rsidRPr="0063641A">
        <w:drawing>
          <wp:inline distT="0" distB="0" distL="0" distR="0">
            <wp:extent cx="6120130" cy="1714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F9A" w:rsidRDefault="00705879" w:rsidP="0063641A">
      <w:pPr>
        <w:pStyle w:val="Corpodeltesto"/>
        <w:spacing w:after="0"/>
        <w:jc w:val="both"/>
        <w:rPr>
          <w:rFonts w:hint="eastAsia"/>
        </w:rPr>
      </w:pPr>
      <w:r>
        <w:br/>
        <w:t xml:space="preserve">In particolare prevede un meccanismo semplificato finalizzato alla misurazione e alla valutazione della performance dei propri dipendenti e volto al </w:t>
      </w:r>
      <w:r w:rsidR="00A01423" w:rsidRPr="00A01423">
        <w:rPr>
          <w:rFonts w:hint="eastAsia"/>
        </w:rPr>
        <w:t>miglioramento    della    qua</w:t>
      </w:r>
      <w:r w:rsidR="00A01423">
        <w:t>lità</w:t>
      </w:r>
      <w:r w:rsidR="00A01423" w:rsidRPr="00A01423">
        <w:rPr>
          <w:rFonts w:hint="eastAsia"/>
        </w:rPr>
        <w:t xml:space="preserve">    dei   servizi   offerti   dalla F</w:t>
      </w:r>
      <w:r w:rsidR="00A01423">
        <w:t>ederazione Nazionale degli Ordini dei Chimici e dei Fisici</w:t>
      </w:r>
      <w:r w:rsidR="00A01423" w:rsidRPr="00A01423">
        <w:rPr>
          <w:rFonts w:hint="eastAsia"/>
        </w:rPr>
        <w:t>, nonc</w:t>
      </w:r>
      <w:r w:rsidR="00A01423">
        <w:t>hé</w:t>
      </w:r>
      <w:r w:rsidR="00A01423" w:rsidRPr="00A01423">
        <w:rPr>
          <w:rFonts w:hint="eastAsia"/>
        </w:rPr>
        <w:t xml:space="preserve"> alla  crescita delle competenze professionali, attraverso </w:t>
      </w:r>
      <w:r w:rsidR="00A01423">
        <w:t xml:space="preserve">la partecipazione a percorsi formativi volti alla </w:t>
      </w:r>
      <w:r w:rsidR="00A01423" w:rsidRPr="00A01423">
        <w:rPr>
          <w:rFonts w:hint="eastAsia"/>
        </w:rPr>
        <w:t xml:space="preserve">valorizzazione </w:t>
      </w:r>
      <w:r w:rsidR="00A01423">
        <w:t xml:space="preserve">ed implementazione delle competenze e alla valorizzazione </w:t>
      </w:r>
      <w:r w:rsidR="00A01423" w:rsidRPr="00A01423">
        <w:rPr>
          <w:rFonts w:hint="eastAsia"/>
        </w:rPr>
        <w:t>del merito e l'erogazione dei  premi  per  i  risultati  perseguiti  dai singoli dipendenti.</w:t>
      </w:r>
      <w:r>
        <w:t xml:space="preserve"> Il sistema di valutazione della performance</w:t>
      </w:r>
      <w:r w:rsidR="0063641A">
        <w:t xml:space="preserve"> e </w:t>
      </w:r>
      <w:r>
        <w:t xml:space="preserve">l’attribuzione dei premi sono sottoposti anche al controllo del Collegio dei Revisori dei Conti unitamente alla Contrattazione integrativa di ente. </w:t>
      </w:r>
    </w:p>
    <w:p w:rsidR="00FA7F9A" w:rsidRDefault="00FA7F9A">
      <w:pPr>
        <w:rPr>
          <w:rFonts w:hint="eastAsia"/>
        </w:rPr>
      </w:pPr>
    </w:p>
    <w:sectPr w:rsidR="00FA7F9A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AD39B6"/>
    <w:multiLevelType w:val="multilevel"/>
    <w:tmpl w:val="603EC8EE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9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F9A"/>
    <w:rsid w:val="0063641A"/>
    <w:rsid w:val="00705879"/>
    <w:rsid w:val="00A01423"/>
    <w:rsid w:val="00A60E8B"/>
    <w:rsid w:val="00FA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A0986"/>
  <w15:docId w15:val="{54C5810E-506F-404B-8242-44BB3A9D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</w:style>
  <w:style w:type="paragraph" w:styleId="Titolo1">
    <w:name w:val="heading 1"/>
    <w:basedOn w:val="Titolo"/>
    <w:next w:val="Corpodeltesto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olo2">
    <w:name w:val="heading 2"/>
    <w:basedOn w:val="Titolo"/>
    <w:next w:val="Corpodeltesto"/>
    <w:uiPriority w:val="9"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"/>
    <w:next w:val="Corpodeltesto"/>
    <w:uiPriority w:val="9"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  <w:lang/>
    </w:r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Quotations">
    <w:name w:val="Quotations"/>
    <w:basedOn w:val="Normale"/>
    <w:qFormat/>
    <w:pPr>
      <w:spacing w:after="283"/>
      <w:ind w:left="567" w:right="567"/>
    </w:pPr>
  </w:style>
  <w:style w:type="paragraph" w:customStyle="1" w:styleId="Titoloprincipale">
    <w:name w:val="Titolo principale"/>
    <w:basedOn w:val="Titolo"/>
    <w:next w:val="Corpodeltesto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"/>
    <w:next w:val="Corpodeltesto"/>
    <w:uiPriority w:val="11"/>
    <w:qFormat/>
    <w:pPr>
      <w:spacing w:before="60"/>
      <w:jc w:val="center"/>
    </w:pPr>
    <w:rPr>
      <w:sz w:val="36"/>
      <w:szCs w:val="36"/>
    </w:rPr>
  </w:style>
  <w:style w:type="paragraph" w:styleId="NormaleWeb">
    <w:name w:val="Normal (Web)"/>
    <w:basedOn w:val="Normale"/>
    <w:uiPriority w:val="99"/>
    <w:semiHidden/>
    <w:unhideWhenUsed/>
    <w:rsid w:val="00A0142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641A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641A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8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www.normattiva.it/uri-res/N2Ls?urn:nir:stato:decreto.legge:2013-08-31;101!vig=2014-11-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2019-04-10T12:29:00Z</dcterms:created>
  <dcterms:modified xsi:type="dcterms:W3CDTF">2019-04-10T12:29:00Z</dcterms:modified>
  <dc:language>it-IT</dc:language>
</cp:coreProperties>
</file>